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602" w:firstLineChars="200"/>
        <w:jc w:val="center"/>
        <w:textAlignment w:val="auto"/>
        <w:rPr>
          <w:rFonts w:hint="eastAsia" w:ascii="仿宋" w:hAnsi="仿宋" w:eastAsia="仿宋" w:cs="仿宋"/>
          <w:sz w:val="30"/>
          <w:szCs w:val="30"/>
        </w:rPr>
      </w:pPr>
      <w:r>
        <w:rPr>
          <w:rFonts w:hint="eastAsia" w:ascii="仿宋" w:hAnsi="仿宋" w:eastAsia="仿宋" w:cs="仿宋"/>
          <w:b/>
          <w:sz w:val="30"/>
          <w:szCs w:val="30"/>
        </w:rPr>
        <w:t>国务院办公厅关于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602" w:firstLineChars="200"/>
        <w:jc w:val="center"/>
        <w:textAlignment w:val="auto"/>
        <w:rPr>
          <w:rFonts w:hint="eastAsia" w:ascii="仿宋" w:hAnsi="仿宋" w:eastAsia="仿宋" w:cs="仿宋"/>
          <w:sz w:val="30"/>
          <w:szCs w:val="30"/>
        </w:rPr>
      </w:pPr>
      <w:r>
        <w:rPr>
          <w:rFonts w:hint="eastAsia" w:ascii="仿宋" w:hAnsi="仿宋" w:eastAsia="仿宋" w:cs="仿宋"/>
          <w:b/>
          <w:sz w:val="30"/>
          <w:szCs w:val="30"/>
        </w:rPr>
        <w:t>推动个人养老金发展的意见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600" w:firstLineChars="200"/>
        <w:jc w:val="center"/>
        <w:textAlignment w:val="auto"/>
        <w:rPr>
          <w:rFonts w:hint="eastAsia" w:ascii="仿宋" w:hAnsi="仿宋" w:eastAsia="仿宋" w:cs="仿宋"/>
          <w:sz w:val="30"/>
          <w:szCs w:val="30"/>
        </w:rPr>
      </w:pPr>
      <w:r>
        <w:rPr>
          <w:rFonts w:hint="eastAsia" w:ascii="仿宋" w:hAnsi="仿宋" w:eastAsia="仿宋" w:cs="仿宋"/>
          <w:sz w:val="30"/>
          <w:szCs w:val="30"/>
        </w:rPr>
        <w:t>国办发〔2022〕7号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both"/>
        <w:textAlignment w:val="auto"/>
        <w:rPr>
          <w:rFonts w:hint="eastAsia" w:ascii="仿宋" w:hAnsi="仿宋" w:eastAsia="仿宋" w:cs="仿宋"/>
          <w:sz w:val="30"/>
          <w:szCs w:val="30"/>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各省、自治区、直辖市人民政府，国务院各部委、各直属机构：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为推进多层次、多支柱养老保险体系建设，促进养老保险制度可持续发展，满足人民群众日益增长的多样化养老保险需要，根据《中华人民共和国社会保险法》、《中华人民共和国银行业监督管理法》、《中华人民共和国保险法》、《中华人民共和国证券投资基金法》等法律法规，经党中央、国务院同意，现就推动个人养老金发展提出以下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2" w:firstLineChars="200"/>
        <w:jc w:val="both"/>
        <w:textAlignment w:val="auto"/>
        <w:rPr>
          <w:rFonts w:hint="eastAsia" w:ascii="仿宋" w:hAnsi="仿宋" w:eastAsia="仿宋" w:cs="仿宋"/>
          <w:sz w:val="30"/>
          <w:szCs w:val="30"/>
        </w:rPr>
      </w:pPr>
      <w:r>
        <w:rPr>
          <w:rFonts w:hint="eastAsia" w:ascii="仿宋" w:hAnsi="仿宋" w:eastAsia="仿宋" w:cs="仿宋"/>
          <w:b/>
          <w:sz w:val="30"/>
          <w:szCs w:val="30"/>
        </w:rPr>
        <w:t>一、总体要求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以习近平新时代中国特色社会主义思想为指导，全面贯彻党的十九大和十九届历次全会精神，认真落实党中央、国务院决策部署，坚持以人民为中心的发展思想，完整、准确、全面贯彻新发展理念，加快构建新发展格局，推动发展适合中国国情、政府政策支持、个人自愿参加、市场化运营的个人养老金，与基本养老保险、企业（职业）年金相衔接，实现养老保险补充功能，协调发展其他个人商业养老金融业务，健全多层次、多支柱养老保险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推动个人养老金发展坚持政府引导、市场运作、有序发展的原则。注重发挥政府引导作用，在多层次、多支柱养老保险体系中统筹布局个人养老金；充分发挥市场作用，营造公开公平公正的竞争环境，调动各方面积极性；严格监督管理，切实防范风险，促进个人养老金健康有序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2" w:firstLineChars="200"/>
        <w:jc w:val="both"/>
        <w:textAlignment w:val="auto"/>
        <w:rPr>
          <w:rFonts w:hint="eastAsia" w:ascii="仿宋" w:hAnsi="仿宋" w:eastAsia="仿宋" w:cs="仿宋"/>
          <w:sz w:val="30"/>
          <w:szCs w:val="30"/>
        </w:rPr>
      </w:pPr>
      <w:r>
        <w:rPr>
          <w:rFonts w:hint="eastAsia" w:ascii="仿宋" w:hAnsi="仿宋" w:eastAsia="仿宋" w:cs="仿宋"/>
          <w:b/>
          <w:sz w:val="30"/>
          <w:szCs w:val="30"/>
        </w:rPr>
        <w:t>二、参加范围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在中国境内参加城镇职工基本养老保险或者城乡居民基本养老保险的劳动者，可以参加个人养老金制度。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2" w:firstLineChars="200"/>
        <w:jc w:val="both"/>
        <w:textAlignment w:val="auto"/>
        <w:rPr>
          <w:rFonts w:hint="eastAsia" w:ascii="仿宋" w:hAnsi="仿宋" w:eastAsia="仿宋" w:cs="仿宋"/>
          <w:sz w:val="30"/>
          <w:szCs w:val="30"/>
        </w:rPr>
      </w:pPr>
      <w:r>
        <w:rPr>
          <w:rFonts w:hint="eastAsia" w:ascii="仿宋" w:hAnsi="仿宋" w:eastAsia="仿宋" w:cs="仿宋"/>
          <w:b/>
          <w:sz w:val="30"/>
          <w:szCs w:val="30"/>
        </w:rPr>
        <w:t>三、制度模式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个人养老金实行个人账户制度，缴费完全由参加人个人承担，实行完全积累。参加人通过个人养老金信息管理服务平台（以下简称信息平台），建立个人养老金账户。个人养老金账户是参加个人养老金制度、享受税收优惠政策的基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参加人可以用缴纳的个人养老金在符合规定的金融机构或者其依法合规委托的销售渠道（以下统称金融产品销售机构）购买金融产品，并承担相应的风险。参加人应当指定或者开立一个本人唯一的个人养老金资金账户，用于个人养老金缴费、归集收益、支付和缴纳个人所得税。个人养老金资金账户可以由参加人在符合规定的商业银行指定或者开立，也可以通过其他符合规定的金融产品销售机构指定。个人养老金资金账户实行封闭运行，其权益归参加人所有，除另有规定外不得提前支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参加人变更个人养老金资金账户开户银行时，应当经信息平台核验后，将原个人养老金资金账户内的资金转移至新的个人养老金资金账户并注销原资金账户。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2" w:firstLineChars="200"/>
        <w:jc w:val="both"/>
        <w:textAlignment w:val="auto"/>
        <w:rPr>
          <w:rFonts w:hint="eastAsia" w:ascii="仿宋" w:hAnsi="仿宋" w:eastAsia="仿宋" w:cs="仿宋"/>
          <w:sz w:val="30"/>
          <w:szCs w:val="30"/>
        </w:rPr>
      </w:pPr>
      <w:r>
        <w:rPr>
          <w:rFonts w:hint="eastAsia" w:ascii="仿宋" w:hAnsi="仿宋" w:eastAsia="仿宋" w:cs="仿宋"/>
          <w:b/>
          <w:sz w:val="30"/>
          <w:szCs w:val="30"/>
        </w:rPr>
        <w:t>四、缴费水平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参加人每年缴纳个人养老金的上限为12000元。人力资源社会保障部、财政部根据经济社会发展水平和多层次、多支柱养老保险体系发展情况等因素适时调整缴费上限。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2" w:firstLineChars="200"/>
        <w:jc w:val="both"/>
        <w:textAlignment w:val="auto"/>
        <w:rPr>
          <w:rFonts w:hint="eastAsia" w:ascii="仿宋" w:hAnsi="仿宋" w:eastAsia="仿宋" w:cs="仿宋"/>
          <w:sz w:val="30"/>
          <w:szCs w:val="30"/>
        </w:rPr>
      </w:pPr>
      <w:r>
        <w:rPr>
          <w:rFonts w:hint="eastAsia" w:ascii="仿宋" w:hAnsi="仿宋" w:eastAsia="仿宋" w:cs="仿宋"/>
          <w:b/>
          <w:sz w:val="30"/>
          <w:szCs w:val="30"/>
        </w:rPr>
        <w:t>五、税收政策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国家制定税收优惠政策，鼓励符合条件的人员参加个人养老金制度并依规领取个人养老金。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2" w:firstLineChars="200"/>
        <w:jc w:val="both"/>
        <w:textAlignment w:val="auto"/>
        <w:rPr>
          <w:rFonts w:hint="eastAsia" w:ascii="仿宋" w:hAnsi="仿宋" w:eastAsia="仿宋" w:cs="仿宋"/>
          <w:sz w:val="30"/>
          <w:szCs w:val="30"/>
        </w:rPr>
      </w:pPr>
      <w:r>
        <w:rPr>
          <w:rFonts w:hint="eastAsia" w:ascii="仿宋" w:hAnsi="仿宋" w:eastAsia="仿宋" w:cs="仿宋"/>
          <w:b/>
          <w:sz w:val="30"/>
          <w:szCs w:val="30"/>
        </w:rPr>
        <w:t>六、个人养老金投资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个人养老金资金账户资金用于购买符合规定的银行理财、储蓄存款、商业养老保险、公募基金等运作安全、成熟稳定、标的规范、侧重长期保值的满足不同投资者偏好的金融产品，参加人可自主选择。参与个人养老金运行的金融机构和金融产品由相关金融监管部门确定，并通过信息平台和金融行业平台向社会发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2" w:firstLineChars="200"/>
        <w:jc w:val="both"/>
        <w:textAlignment w:val="auto"/>
        <w:rPr>
          <w:rFonts w:hint="eastAsia" w:ascii="仿宋" w:hAnsi="仿宋" w:eastAsia="仿宋" w:cs="仿宋"/>
          <w:sz w:val="30"/>
          <w:szCs w:val="30"/>
        </w:rPr>
      </w:pPr>
      <w:r>
        <w:rPr>
          <w:rFonts w:hint="eastAsia" w:ascii="仿宋" w:hAnsi="仿宋" w:eastAsia="仿宋" w:cs="仿宋"/>
          <w:b/>
          <w:sz w:val="30"/>
          <w:szCs w:val="30"/>
        </w:rPr>
        <w:t>七、个人养老金领取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参加人达到领取基本养老金年龄、完全丧失劳动能力、出国（境）定居，或者具有其他符合国家规定的情形，经信息平台核验领取条件后，可以按月、分次或者一次性领取个人养老金，领取方式一经确定不得更改。领取时，应将个人养老金由个人养老金资金账户转入本人社会保障卡银行账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参加人死亡后，其个人养老金资金账户中的资产可以继承。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2" w:firstLineChars="200"/>
        <w:jc w:val="both"/>
        <w:textAlignment w:val="auto"/>
        <w:rPr>
          <w:rFonts w:hint="eastAsia" w:ascii="仿宋" w:hAnsi="仿宋" w:eastAsia="仿宋" w:cs="仿宋"/>
          <w:sz w:val="30"/>
          <w:szCs w:val="30"/>
        </w:rPr>
      </w:pPr>
      <w:r>
        <w:rPr>
          <w:rFonts w:hint="eastAsia" w:ascii="仿宋" w:hAnsi="仿宋" w:eastAsia="仿宋" w:cs="仿宋"/>
          <w:b/>
          <w:sz w:val="30"/>
          <w:szCs w:val="30"/>
        </w:rPr>
        <w:t>八、信息平台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信息平台由人力资源社会保障部组织建设，与符合规定的商业银行以及相关金融行业平台对接，归集相关信息，与财政、税务等部门共享相关信息，为参加人提供个人养老金账户管理、缴费管理、信息查询等服务，支持参加人享受税收优惠政策，为个人养老金运行提供信息核验和综合监管支撑，为相关金融监管部门、参与个人养老金运行的金融机构提供相关信息服务。不断提升信息平台的规范化、信息化、专业化管理水平，运用“互联网+”创新服务方式，为参加人提供方便快捷的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2" w:firstLineChars="200"/>
        <w:jc w:val="both"/>
        <w:textAlignment w:val="auto"/>
        <w:rPr>
          <w:rFonts w:hint="eastAsia" w:ascii="仿宋" w:hAnsi="仿宋" w:eastAsia="仿宋" w:cs="仿宋"/>
          <w:sz w:val="30"/>
          <w:szCs w:val="30"/>
        </w:rPr>
      </w:pPr>
      <w:r>
        <w:rPr>
          <w:rFonts w:hint="eastAsia" w:ascii="仿宋" w:hAnsi="仿宋" w:eastAsia="仿宋" w:cs="仿宋"/>
          <w:b/>
          <w:sz w:val="30"/>
          <w:szCs w:val="30"/>
        </w:rPr>
        <w:t>九、运营和监管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人力资源社会保障部、财政部对个人养老金发展进行宏观指导，根据职责对个人养老金的账户设置、缴费上限、待遇领取、税收优惠等制定具体政策并进行运行监管，定期向社会披露相关信息。税务部门依法对个人养老金实施税收征管。相关金融监管部门根据各自职责，依法依规对参与个人养老金运行金融机构的经营活动进行监管，督促相关金融机构优化产品和服务，做好产品风险提示，对产品的风险性进行监管，加强对投资者的教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各参与部门要建立和完善投诉机制，积极发挥社会监督作用，及时发现解决个人养老金运行中出现的问题。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2" w:firstLineChars="200"/>
        <w:jc w:val="both"/>
        <w:textAlignment w:val="auto"/>
        <w:rPr>
          <w:rFonts w:hint="eastAsia" w:ascii="仿宋" w:hAnsi="仿宋" w:eastAsia="仿宋" w:cs="仿宋"/>
          <w:sz w:val="30"/>
          <w:szCs w:val="30"/>
        </w:rPr>
      </w:pPr>
      <w:r>
        <w:rPr>
          <w:rFonts w:hint="eastAsia" w:ascii="仿宋" w:hAnsi="仿宋" w:eastAsia="仿宋" w:cs="仿宋"/>
          <w:b/>
          <w:sz w:val="30"/>
          <w:szCs w:val="30"/>
        </w:rPr>
        <w:t>十、组织领导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推动个人养老金发展是健全多层次、多支柱养老保险体系，增强人民群众获得感、幸福感、安全感的重要举措，直接关系广大参加人的切身利益。各地区要加强领导、周密部署、广泛宣传，稳妥有序推动有关工作落地实施。各相关部门要按照职责分工制定落实本意见的具体政策措施，同向发力、密切协同，指导地方和有关金融机构切实做好相关工作。人力资源社会保障部、财政部要加强指导和协调，结合实际分步实施，选择部分城市先试行1年，再逐步推开，及时研究解决工作中遇到的问题，确保本意见顺利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both"/>
        <w:textAlignment w:val="auto"/>
        <w:rPr>
          <w:rFonts w:hint="eastAsia" w:ascii="仿宋" w:hAnsi="仿宋" w:eastAsia="仿宋" w:cs="仿宋"/>
          <w:sz w:val="30"/>
          <w:szCs w:val="30"/>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both"/>
        <w:textAlignment w:val="auto"/>
        <w:rPr>
          <w:rFonts w:hint="eastAsia" w:ascii="仿宋" w:hAnsi="仿宋" w:eastAsia="仿宋" w:cs="仿宋"/>
          <w:sz w:val="30"/>
          <w:szCs w:val="30"/>
        </w:rPr>
      </w:pPr>
      <w:bookmarkStart w:id="0" w:name="_GoBack"/>
      <w:bookmarkEnd w:id="0"/>
    </w:p>
    <w:p>
      <w:pPr>
        <w:pStyle w:val="2"/>
        <w:keepNext w:val="0"/>
        <w:keepLines w:val="0"/>
        <w:pageBreakBefore w:val="0"/>
        <w:widowControl/>
        <w:suppressLineNumbers w:val="0"/>
        <w:pBdr>
          <w:right w:val="none" w:color="auto" w:sz="0" w:space="0"/>
        </w:pBdr>
        <w:kinsoku/>
        <w:wordWrap/>
        <w:overflowPunct/>
        <w:topLinePunct w:val="0"/>
        <w:autoSpaceDE/>
        <w:autoSpaceDN/>
        <w:bidi w:val="0"/>
        <w:adjustRightInd/>
        <w:snapToGrid/>
        <w:spacing w:before="0" w:beforeAutospacing="0" w:after="0" w:afterAutospacing="0" w:line="360" w:lineRule="auto"/>
        <w:ind w:firstLine="600" w:firstLineChars="200"/>
        <w:jc w:val="right"/>
        <w:textAlignment w:val="auto"/>
        <w:rPr>
          <w:rFonts w:hint="eastAsia" w:ascii="仿宋" w:hAnsi="仿宋" w:eastAsia="仿宋" w:cs="仿宋"/>
          <w:sz w:val="30"/>
          <w:szCs w:val="30"/>
        </w:rPr>
      </w:pPr>
      <w:r>
        <w:rPr>
          <w:rFonts w:hint="eastAsia" w:ascii="仿宋" w:hAnsi="仿宋" w:eastAsia="仿宋" w:cs="仿宋"/>
          <w:sz w:val="30"/>
          <w:szCs w:val="30"/>
        </w:rPr>
        <w:t>国务院办公厅</w:t>
      </w:r>
    </w:p>
    <w:p>
      <w:pPr>
        <w:pStyle w:val="2"/>
        <w:keepNext w:val="0"/>
        <w:keepLines w:val="0"/>
        <w:pageBreakBefore w:val="0"/>
        <w:widowControl/>
        <w:suppressLineNumbers w:val="0"/>
        <w:pBdr>
          <w:right w:val="none" w:color="auto" w:sz="0" w:space="0"/>
        </w:pBdr>
        <w:kinsoku/>
        <w:wordWrap/>
        <w:overflowPunct/>
        <w:topLinePunct w:val="0"/>
        <w:autoSpaceDE/>
        <w:autoSpaceDN/>
        <w:bidi w:val="0"/>
        <w:adjustRightInd/>
        <w:snapToGrid/>
        <w:spacing w:before="0" w:beforeAutospacing="0" w:after="0" w:afterAutospacing="0" w:line="360" w:lineRule="auto"/>
        <w:ind w:firstLine="600" w:firstLineChars="200"/>
        <w:jc w:val="right"/>
        <w:textAlignment w:val="auto"/>
        <w:rPr>
          <w:rFonts w:hint="eastAsia" w:ascii="仿宋" w:hAnsi="仿宋" w:eastAsia="仿宋" w:cs="仿宋"/>
          <w:sz w:val="30"/>
          <w:szCs w:val="30"/>
        </w:rPr>
      </w:pPr>
      <w:r>
        <w:rPr>
          <w:rFonts w:hint="eastAsia" w:ascii="仿宋" w:hAnsi="仿宋" w:eastAsia="仿宋" w:cs="仿宋"/>
          <w:sz w:val="30"/>
          <w:szCs w:val="30"/>
        </w:rPr>
        <w:t>2022年4月8日</w:t>
      </w:r>
    </w:p>
    <w:p>
      <w:pPr>
        <w:keepNext w:val="0"/>
        <w:keepLines w:val="0"/>
        <w:pageBreakBefore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40033E"/>
    <w:rsid w:val="2A81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2022-07-13T05:48:00Z</dcterms:created>
  <dc:creator>tanhg.HQ</dc:creator>
  <cp:lastModifiedBy>谭获果</cp:lastModifiedBy>
  <dcterms:modified xsi:type="dcterms:W3CDTF">2022-07-13T05:53:31Z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